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B08D2">
      <w:pPr>
        <w:pStyle w:val="2"/>
      </w:pPr>
      <w:bookmarkStart w:id="0" w:name="_Toc99378829"/>
      <w:bookmarkStart w:id="1" w:name="_Toc92793438"/>
      <w:r>
        <w:t>TỘI PHẠM RÕ</w:t>
      </w:r>
      <w:bookmarkEnd w:id="0"/>
      <w:bookmarkEnd w:id="1"/>
    </w:p>
    <w:p w14:paraId="5C3079F9">
      <w:pPr>
        <w:spacing w:before="120" w:after="120" w:line="400" w:lineRule="exact"/>
        <w:ind w:firstLine="709"/>
        <w:jc w:val="both"/>
        <w:rPr>
          <w:rFonts w:eastAsia="Arial" w:cs="Times New Roman"/>
          <w:szCs w:val="28"/>
        </w:rPr>
      </w:pPr>
      <w:r>
        <w:rPr>
          <w:rFonts w:eastAsia="Arial" w:cs="Times New Roman"/>
          <w:szCs w:val="28"/>
        </w:rPr>
        <w:t xml:space="preserve">tội phạm đã xảy ra trên thực tế, các cơ quan tiến hành tố tụng đã chứng minh theo trình tự, thủ tục do Bộ luật Tố tụng hình sự quy định, Toà án đã kết tội bằng bản án có hiệu lực pháp luật và được đưa vào thống kê tội phạm hằng năm. </w:t>
      </w:r>
      <w:bookmarkStart w:id="2" w:name="OLE_LINK3"/>
      <w:bookmarkStart w:id="3" w:name="OLE_LINK4"/>
      <w:r>
        <w:rPr>
          <w:rFonts w:eastAsia="Arial" w:cs="Times New Roman"/>
          <w:szCs w:val="28"/>
        </w:rPr>
        <w:t>TPR</w:t>
      </w:r>
      <w:bookmarkEnd w:id="2"/>
      <w:bookmarkEnd w:id="3"/>
      <w:r>
        <w:rPr>
          <w:rFonts w:eastAsia="Arial" w:cs="Times New Roman"/>
          <w:szCs w:val="28"/>
        </w:rPr>
        <w:t xml:space="preserve"> là tội phạm đã xảy ra trên thực tế, nguồn tin về tội phạm đã được cơ quan, tổ chức, cá nhân cung cấp, phản ánh đến cơ quan có thẩm quyền hoặc cơ quan có thẩm quyền tiến hành tố tụng trực tiếp phát hiện, ghi nhận và tổ chức giải quyết theo quy định của pháp luật; Cơ quan điều tra quyết định khởi tố vụ án hình sự, khởi tố bị can, điều tra làm rõ được những vấn đề phải chứng minh trong vụ án hình sự đã xảy ra và những hành vi phạm tội trước đó nếu có; Viện kiểm sát quyết định truy tố bị can trước pháp luật; Toà án tổ chức xét xử với kết quả thông qua bản án kết tội có hiệu lực pháp luật đối với bị cáo và thông tin được đưa vào thống kê tội phạm hàng năm </w:t>
      </w:r>
    </w:p>
    <w:p w14:paraId="4AC41EC5">
      <w:pPr>
        <w:spacing w:before="120" w:after="120" w:line="400" w:lineRule="exact"/>
        <w:ind w:firstLine="709"/>
        <w:jc w:val="both"/>
        <w:rPr>
          <w:rFonts w:eastAsia="Arial" w:cs="Times New Roman"/>
          <w:szCs w:val="28"/>
        </w:rPr>
      </w:pPr>
      <w:r>
        <w:rPr>
          <w:rFonts w:eastAsia="Arial" w:cs="Times New Roman"/>
          <w:szCs w:val="28"/>
        </w:rPr>
        <w:t>Ở nước ta còn tồn tại một số quan điểm khác nhau về TPR, như có quan điểm cho rằng, tội phạm rõ để chỉ tội phạm đã xảy ra và nguồn tin về tội phạm đã được cơ quan có thẩm quyền ghi nhận. Nhưng quan điểm phổ biến, chung nhất trong các tài liệu nghiên cứu về tội phạm học cho rằng tội phạm rõ là tội phạm đã xảy ra trên thực tế, các cơ quan tiến hành tố tụng đã điều tra, truy tố, xét xử theo trình tự, thủ tục do Bộ luật Tố tụng hình sự quy định và được đưa vào thống kê tội phạm hàng năm.</w:t>
      </w:r>
    </w:p>
    <w:p w14:paraId="60DD592F">
      <w:pPr>
        <w:spacing w:before="120" w:after="120" w:line="400" w:lineRule="exact"/>
        <w:ind w:firstLine="709"/>
        <w:jc w:val="both"/>
        <w:rPr>
          <w:rFonts w:eastAsia="Arial" w:cs="Times New Roman"/>
          <w:szCs w:val="28"/>
        </w:rPr>
      </w:pPr>
      <w:r>
        <w:rPr>
          <w:rFonts w:eastAsia="Arial" w:cs="Times New Roman"/>
          <w:szCs w:val="28"/>
        </w:rPr>
        <w:t>TPR được xác định bằng số liệu thống kê tội phạm, người phạm tội qua xét xử vụ án hình sự hàng năm của Toà án; ngoài ra, tội phạm phạm rõ còn được xác định qua số liệu thống kê tội danh, người thực hiện hành vi phạm tội đã được các cơ quan tiến hành tố tụng chứng minh theo quy định của pháp luật hình sự, tố tụng hình sự nhưng không bị khởi tố, xét xử, bị xử lý hình sự, như: đã hết thời hiệu truy cứu trách nhiệm hình sự; tội phạm được đại xá; người thực hiện hành vi nguy hiểm cho xã hội đã chết… TPR phản ánh tính khách quan, năng lực của các cơ quan tiến hành tố tụng hình sự, là căn cứ đánh giá tương đối chính xác hiệu quả của công tác đấu tranh chống tội phạm và là cơ sở nghiên cứu, xác định phần ẩn của tội phạm. Số liệu thống kê tội phạm rõ càng lớn, tiệm tiến đến số liệu thống kê nguồn tin phản ánh về tội phạm đã xảy ra được cơ quan có thẩm quyền ghi nhận, chứng tỏ công tác đấu tranh với tội phạm hiệu quả cao, tội phạm ẩn thấp và ngược lại.</w:t>
      </w:r>
    </w:p>
    <w:p w14:paraId="26B35650">
      <w:pPr>
        <w:spacing w:before="120" w:after="120" w:line="400" w:lineRule="exact"/>
        <w:ind w:firstLine="709"/>
        <w:jc w:val="both"/>
        <w:rPr>
          <w:rFonts w:eastAsia="Arial" w:cs="Times New Roman"/>
          <w:szCs w:val="28"/>
        </w:rPr>
      </w:pPr>
      <w:r>
        <w:rPr>
          <w:rFonts w:eastAsia="Arial" w:cs="Times New Roman"/>
          <w:szCs w:val="28"/>
        </w:rPr>
        <w:t xml:space="preserve">Phân loại TPR có thể căn cứ vào mức độ rõ về thông tin của tội phạm, người phạm tội theo quy định của pháp luật hình sự, tố tụng hình sự đối với các chủ thể có thẩm quyền tiến hành tố tụng để phân loại thành: TPR một phần để chỉ tội phạm đã xảy ra, Cơ quan điều tra đã điều tra, có đầy đủ chứng cứ chứng minh, làm rõ những vấn đề cần phải chứng minh trong vụ án hình sự, kết thúc bằng </w:t>
      </w:r>
      <w:r>
        <w:rPr>
          <w:rFonts w:eastAsia="Calibri" w:cs="Times New Roman"/>
          <w:iCs/>
        </w:rPr>
        <w:t xml:space="preserve">bản kết luận điều tra đề nghị truy tố và Viện kiểm sát quyết định truy tố bị can trước pháp luật; </w:t>
      </w:r>
      <w:r>
        <w:rPr>
          <w:rFonts w:eastAsia="Arial" w:cs="Times New Roman"/>
          <w:szCs w:val="28"/>
        </w:rPr>
        <w:t xml:space="preserve">TPR </w:t>
      </w:r>
      <w:r>
        <w:rPr>
          <w:rFonts w:eastAsia="Calibri" w:cs="Times New Roman"/>
          <w:iCs/>
        </w:rPr>
        <w:t xml:space="preserve">toàn phần để chỉ tội phạm đã xảy ra, Toà án đã tổ chức xét xử, kết thúc bằng bản án kết tội có hiệu lực pháp luật và thông tin được đưa vào thống kê tội phạm. Ngoài ra, còn có thể căn cứ vào hình thức xác định tội phạm rõ để phân loại thành: </w:t>
      </w:r>
      <w:r>
        <w:rPr>
          <w:rFonts w:eastAsia="Arial" w:cs="Times New Roman"/>
          <w:szCs w:val="28"/>
        </w:rPr>
        <w:t xml:space="preserve">TPR </w:t>
      </w:r>
      <w:r>
        <w:rPr>
          <w:rFonts w:eastAsia="Calibri" w:cs="Times New Roman"/>
          <w:iCs/>
        </w:rPr>
        <w:t xml:space="preserve">qua xét xử để chỉ tội phạm rõ theo đúng nguyên nghĩa là đã xảy ra, đã chứng minh, được xét xử bằng bản án kết tội và được đưa vào thống kê tội phạm; </w:t>
      </w:r>
      <w:r>
        <w:rPr>
          <w:rFonts w:eastAsia="Arial" w:cs="Times New Roman"/>
          <w:szCs w:val="28"/>
        </w:rPr>
        <w:t xml:space="preserve">TPR </w:t>
      </w:r>
      <w:r>
        <w:rPr>
          <w:rFonts w:eastAsia="Calibri" w:cs="Times New Roman"/>
          <w:iCs/>
        </w:rPr>
        <w:t xml:space="preserve">không thông qua xét xử để chỉ những vụ án hình sự đã xảy ra, có tội phạm và người đã thực hiện hành vi phạm tội trên thực tế nhưng vì quy định của pháp luật mà không khởi tố, không xét xử và không xem xét trách nhiệm hình sự như: </w:t>
      </w:r>
      <w:r>
        <w:rPr>
          <w:rFonts w:eastAsia="Arial" w:cs="Times New Roman"/>
          <w:szCs w:val="28"/>
        </w:rPr>
        <w:t>đã hết thời hiệu truy cứu trách nhiệm hình sự; tội phạm được đại xá; người thực hiện hành vi nguy hiểm cho xã hội đã chết</w:t>
      </w:r>
      <w:r>
        <w:rPr>
          <w:rFonts w:eastAsia="Calibri" w:cs="Times New Roman"/>
          <w:iCs/>
        </w:rPr>
        <w:t xml:space="preserve">. </w:t>
      </w:r>
      <w:r>
        <w:rPr>
          <w:rFonts w:eastAsia="Arial" w:cs="Times New Roman"/>
          <w:i/>
          <w:iCs/>
          <w:szCs w:val="28"/>
        </w:rPr>
        <w:t>Xt. Án hình sự; Án rõ; Tội phạm; Tội phạm ẩn</w:t>
      </w:r>
    </w:p>
    <w:p w14:paraId="490306AA">
      <w:pPr>
        <w:spacing w:before="120" w:after="120" w:line="400" w:lineRule="exact"/>
        <w:ind w:firstLine="709"/>
        <w:jc w:val="right"/>
        <w:rPr>
          <w:rFonts w:eastAsia="Arial" w:cs="Times New Roman"/>
          <w:b/>
          <w:sz w:val="24"/>
          <w:szCs w:val="24"/>
        </w:rPr>
      </w:pPr>
      <w:r>
        <w:rPr>
          <w:rFonts w:eastAsia="Arial" w:cs="Times New Roman"/>
          <w:b/>
          <w:sz w:val="24"/>
          <w:szCs w:val="24"/>
        </w:rPr>
        <w:t>NGUYỄN HỒNG SƠN</w:t>
      </w:r>
    </w:p>
    <w:p w14:paraId="14238C2A">
      <w:pPr>
        <w:pStyle w:val="3"/>
      </w:pPr>
      <w:r>
        <w:t>Tài liệu tham khảo</w:t>
      </w:r>
    </w:p>
    <w:p w14:paraId="32C4EA05">
      <w:pPr>
        <w:numPr>
          <w:ilvl w:val="0"/>
          <w:numId w:val="1"/>
        </w:numPr>
        <w:tabs>
          <w:tab w:val="left" w:pos="1134"/>
        </w:tabs>
        <w:spacing w:before="120" w:after="120" w:line="400" w:lineRule="exact"/>
        <w:ind w:left="0" w:firstLine="709"/>
        <w:jc w:val="both"/>
        <w:rPr>
          <w:rFonts w:eastAsia="Times New Roman" w:cs="Times New Roman"/>
          <w:iCs/>
          <w:color w:val="000000"/>
          <w:sz w:val="24"/>
          <w:szCs w:val="24"/>
        </w:rPr>
      </w:pPr>
      <w:r>
        <w:rPr>
          <w:rFonts w:eastAsia="Times New Roman" w:cs="Times New Roman"/>
          <w:iCs/>
          <w:color w:val="000000"/>
          <w:sz w:val="24"/>
          <w:szCs w:val="24"/>
        </w:rPr>
        <w:t xml:space="preserve">Dương Tuyết Miên, </w:t>
      </w:r>
      <w:r>
        <w:rPr>
          <w:rFonts w:eastAsia="Times New Roman" w:cs="Times New Roman"/>
          <w:i/>
          <w:iCs/>
          <w:color w:val="000000"/>
          <w:sz w:val="24"/>
          <w:szCs w:val="24"/>
        </w:rPr>
        <w:t>Bàn về tội phạm rõ, tội phạm ẩn trong tội phạm học</w:t>
      </w:r>
      <w:r>
        <w:rPr>
          <w:rFonts w:eastAsia="Times New Roman" w:cs="Times New Roman"/>
          <w:iCs/>
          <w:color w:val="000000"/>
          <w:sz w:val="24"/>
          <w:szCs w:val="24"/>
        </w:rPr>
        <w:t>, Tạp chí Luật học số 3/2010.</w:t>
      </w:r>
    </w:p>
    <w:p w14:paraId="47529596">
      <w:pPr>
        <w:numPr>
          <w:ilvl w:val="0"/>
          <w:numId w:val="1"/>
        </w:numPr>
        <w:tabs>
          <w:tab w:val="left" w:pos="1134"/>
        </w:tabs>
        <w:spacing w:before="120" w:after="120" w:line="400" w:lineRule="exact"/>
        <w:ind w:left="0" w:firstLine="709"/>
        <w:jc w:val="both"/>
        <w:rPr>
          <w:rFonts w:eastAsia="Times New Roman" w:cs="Times New Roman"/>
          <w:iCs/>
          <w:color w:val="000000"/>
          <w:sz w:val="24"/>
          <w:szCs w:val="24"/>
        </w:rPr>
      </w:pPr>
      <w:r>
        <w:rPr>
          <w:rFonts w:eastAsia="Times New Roman" w:cs="Times New Roman"/>
          <w:iCs/>
          <w:color w:val="000000"/>
          <w:sz w:val="24"/>
          <w:szCs w:val="24"/>
        </w:rPr>
        <w:t xml:space="preserve">Phạm Văn Tỉnh, </w:t>
      </w:r>
      <w:r>
        <w:rPr>
          <w:rFonts w:eastAsia="Times New Roman" w:cs="Times New Roman"/>
          <w:i/>
          <w:iCs/>
          <w:color w:val="000000"/>
          <w:sz w:val="24"/>
          <w:szCs w:val="24"/>
        </w:rPr>
        <w:t>Tài liệu Tội phạm học</w:t>
      </w:r>
      <w:r>
        <w:rPr>
          <w:rFonts w:eastAsia="Times New Roman" w:cs="Times New Roman"/>
          <w:iCs/>
          <w:color w:val="000000"/>
          <w:sz w:val="24"/>
          <w:szCs w:val="24"/>
        </w:rPr>
        <w:t>, Học viện Cảnh sát nhân dân, 2013.</w:t>
      </w:r>
    </w:p>
    <w:p w14:paraId="4641782E">
      <w:pPr>
        <w:numPr>
          <w:ilvl w:val="0"/>
          <w:numId w:val="1"/>
        </w:numPr>
        <w:tabs>
          <w:tab w:val="left" w:pos="1134"/>
        </w:tabs>
        <w:spacing w:before="120" w:after="120" w:line="400" w:lineRule="exact"/>
        <w:ind w:left="0" w:firstLine="709"/>
        <w:jc w:val="both"/>
        <w:rPr>
          <w:rFonts w:eastAsia="Times New Roman" w:cs="Times New Roman"/>
          <w:i/>
          <w:iCs/>
          <w:color w:val="000000"/>
          <w:sz w:val="24"/>
          <w:szCs w:val="24"/>
        </w:rPr>
      </w:pPr>
      <w:r>
        <w:rPr>
          <w:rFonts w:eastAsia="Times New Roman" w:cs="Times New Roman"/>
          <w:iCs/>
          <w:color w:val="000000"/>
          <w:sz w:val="24"/>
          <w:szCs w:val="24"/>
        </w:rPr>
        <w:t xml:space="preserve">Quốc hội, </w:t>
      </w:r>
      <w:r>
        <w:rPr>
          <w:rFonts w:eastAsia="Times New Roman" w:cs="Times New Roman"/>
          <w:i/>
          <w:iCs/>
          <w:color w:val="000000"/>
          <w:sz w:val="24"/>
          <w:szCs w:val="24"/>
        </w:rPr>
        <w:t>Bộ luật Hình sự năm 2015 (sửa đổi, bổ sung năm 2017).</w:t>
      </w:r>
    </w:p>
    <w:p w14:paraId="58AC4AA3">
      <w:pPr>
        <w:numPr>
          <w:ilvl w:val="0"/>
          <w:numId w:val="1"/>
        </w:numPr>
        <w:tabs>
          <w:tab w:val="left" w:pos="1134"/>
        </w:tabs>
        <w:spacing w:before="120" w:after="120" w:line="400" w:lineRule="exact"/>
        <w:ind w:left="0" w:firstLine="709"/>
        <w:jc w:val="both"/>
        <w:rPr>
          <w:rFonts w:eastAsia="Times New Roman" w:cs="Times New Roman"/>
          <w:i/>
          <w:iCs/>
          <w:color w:val="000000"/>
          <w:sz w:val="24"/>
          <w:szCs w:val="24"/>
        </w:rPr>
      </w:pPr>
      <w:r>
        <w:rPr>
          <w:rFonts w:eastAsia="Times New Roman" w:cs="Times New Roman"/>
          <w:iCs/>
          <w:color w:val="000000"/>
          <w:sz w:val="24"/>
          <w:szCs w:val="24"/>
        </w:rPr>
        <w:t xml:space="preserve">Quốc hội, </w:t>
      </w:r>
      <w:r>
        <w:rPr>
          <w:rFonts w:eastAsia="Times New Roman" w:cs="Times New Roman"/>
          <w:i/>
          <w:iCs/>
          <w:color w:val="000000"/>
          <w:sz w:val="24"/>
          <w:szCs w:val="24"/>
        </w:rPr>
        <w:t>Bộ luật Tố tụng hình sự năm 2015.</w:t>
      </w:r>
    </w:p>
    <w:p w14:paraId="64B82575">
      <w:pPr>
        <w:numPr>
          <w:ilvl w:val="0"/>
          <w:numId w:val="1"/>
        </w:numPr>
        <w:tabs>
          <w:tab w:val="left" w:pos="1134"/>
        </w:tabs>
        <w:spacing w:before="120" w:after="120" w:line="400" w:lineRule="exact"/>
        <w:ind w:left="0" w:firstLine="709"/>
        <w:jc w:val="both"/>
        <w:rPr>
          <w:rFonts w:eastAsia="Times New Roman" w:cs="Times New Roman"/>
          <w:i/>
          <w:iCs/>
          <w:color w:val="000000"/>
          <w:sz w:val="24"/>
          <w:szCs w:val="24"/>
        </w:rPr>
      </w:pPr>
      <w:r>
        <w:rPr>
          <w:rFonts w:eastAsia="Times New Roman" w:cs="Times New Roman"/>
          <w:iCs/>
          <w:color w:val="000000"/>
          <w:sz w:val="24"/>
          <w:szCs w:val="24"/>
        </w:rPr>
        <w:t xml:space="preserve">Quốc hội, </w:t>
      </w:r>
      <w:r>
        <w:rPr>
          <w:rFonts w:eastAsia="Times New Roman" w:cs="Times New Roman"/>
          <w:i/>
          <w:iCs/>
          <w:color w:val="000000"/>
          <w:sz w:val="24"/>
          <w:szCs w:val="24"/>
        </w:rPr>
        <w:t xml:space="preserve">Luật Tổ chức Cơ quan điều tra hình sự năm 2015.  </w:t>
      </w:r>
      <w:r>
        <w:rPr>
          <w:rFonts w:eastAsia="Times New Roman" w:cs="Times New Roman"/>
          <w:b/>
          <w:bCs/>
          <w:i/>
          <w:iCs/>
          <w:color w:val="000000"/>
          <w:sz w:val="24"/>
          <w:szCs w:val="24"/>
        </w:rPr>
        <w:t xml:space="preserve">  </w:t>
      </w:r>
    </w:p>
    <w:p w14:paraId="0781D5F8">
      <w:pPr>
        <w:numPr>
          <w:ilvl w:val="0"/>
          <w:numId w:val="1"/>
        </w:numPr>
        <w:tabs>
          <w:tab w:val="left" w:pos="1134"/>
        </w:tabs>
        <w:spacing w:before="120" w:after="120" w:line="400" w:lineRule="exact"/>
        <w:ind w:left="0" w:firstLine="709"/>
        <w:jc w:val="both"/>
        <w:rPr>
          <w:rFonts w:eastAsia="Times New Roman" w:cs="Times New Roman"/>
          <w:i/>
          <w:iCs/>
          <w:color w:val="000000"/>
          <w:sz w:val="24"/>
          <w:szCs w:val="24"/>
        </w:rPr>
      </w:pPr>
      <w:r>
        <w:rPr>
          <w:rFonts w:eastAsia="Times New Roman" w:cs="Times New Roman"/>
          <w:iCs/>
          <w:color w:val="000000"/>
          <w:sz w:val="24"/>
          <w:szCs w:val="24"/>
        </w:rPr>
        <w:t xml:space="preserve">Quốc hội, </w:t>
      </w:r>
      <w:r>
        <w:rPr>
          <w:rFonts w:eastAsia="Times New Roman" w:cs="Times New Roman"/>
          <w:i/>
          <w:iCs/>
          <w:color w:val="000000"/>
          <w:sz w:val="24"/>
          <w:szCs w:val="24"/>
        </w:rPr>
        <w:t xml:space="preserve">Luật Tổ chức Viện kiểm sát nhân dân năm 2014. </w:t>
      </w:r>
    </w:p>
    <w:p w14:paraId="1AFA441E">
      <w:pPr>
        <w:numPr>
          <w:ilvl w:val="0"/>
          <w:numId w:val="1"/>
        </w:numPr>
        <w:tabs>
          <w:tab w:val="left" w:pos="1134"/>
        </w:tabs>
        <w:spacing w:before="120" w:after="120" w:line="400" w:lineRule="exact"/>
        <w:ind w:left="0" w:firstLine="709"/>
        <w:jc w:val="both"/>
        <w:rPr>
          <w:rFonts w:eastAsia="Times New Roman" w:cs="Times New Roman"/>
          <w:iCs/>
          <w:color w:val="000000"/>
          <w:sz w:val="24"/>
          <w:szCs w:val="24"/>
        </w:rPr>
      </w:pPr>
      <w:r>
        <w:rPr>
          <w:rFonts w:eastAsia="Times New Roman" w:cs="Times New Roman"/>
          <w:iCs/>
          <w:color w:val="000000"/>
          <w:sz w:val="24"/>
          <w:szCs w:val="24"/>
        </w:rPr>
        <w:t xml:space="preserve">Tổng cục Xây dựng lực lượng Công an nhân dân, </w:t>
      </w:r>
      <w:r>
        <w:rPr>
          <w:rFonts w:eastAsia="Times New Roman" w:cs="Times New Roman"/>
          <w:i/>
          <w:iCs/>
          <w:color w:val="000000"/>
          <w:sz w:val="24"/>
          <w:szCs w:val="24"/>
        </w:rPr>
        <w:t>Giáo trình Tội phạm học</w:t>
      </w:r>
      <w:r>
        <w:rPr>
          <w:rFonts w:eastAsia="Times New Roman" w:cs="Times New Roman"/>
          <w:iCs/>
          <w:color w:val="000000"/>
          <w:sz w:val="24"/>
          <w:szCs w:val="24"/>
        </w:rPr>
        <w:t>, Nxb Công an nhân dân, Hà</w:t>
      </w:r>
      <w:r>
        <w:rPr>
          <w:rFonts w:eastAsia="Times New Roman" w:cs="Times New Roman"/>
          <w:iCs/>
          <w:color w:val="000000"/>
          <w:sz w:val="24"/>
          <w:szCs w:val="24"/>
          <w:lang w:val="vi-VN"/>
        </w:rPr>
        <w:t xml:space="preserve"> Nội, </w:t>
      </w:r>
      <w:r>
        <w:rPr>
          <w:rFonts w:eastAsia="Times New Roman" w:cs="Times New Roman"/>
          <w:iCs/>
          <w:color w:val="000000"/>
          <w:sz w:val="24"/>
          <w:szCs w:val="24"/>
        </w:rPr>
        <w:t>2011</w:t>
      </w:r>
      <w:r>
        <w:rPr>
          <w:rFonts w:eastAsia="Times New Roman" w:cs="Times New Roman"/>
          <w:i/>
          <w:color w:val="000000"/>
          <w:sz w:val="24"/>
          <w:szCs w:val="24"/>
        </w:rPr>
        <w:t>.</w:t>
      </w:r>
    </w:p>
    <w:p w14:paraId="091F1D14">
      <w:bookmarkStart w:id="4" w:name="_GoBack"/>
      <w:bookmarkEnd w:id="4"/>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00E41"/>
    <w:multiLevelType w:val="multilevel"/>
    <w:tmpl w:val="15200E41"/>
    <w:lvl w:ilvl="0" w:tentative="0">
      <w:start w:val="1"/>
      <w:numFmt w:val="decimal"/>
      <w:lvlText w:val="%1."/>
      <w:lvlJc w:val="left"/>
      <w:pPr>
        <w:ind w:left="1080" w:hanging="360"/>
      </w:pPr>
      <w:rPr>
        <w:rFonts w:hint="default"/>
        <w:i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46BF5B9A"/>
    <w:rsid w:val="55033145"/>
    <w:rsid w:val="576003C8"/>
    <w:rsid w:val="60533013"/>
    <w:rsid w:val="608765FE"/>
    <w:rsid w:val="66081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2</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2026-07-02T13:38:17Z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